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9C9" w:rsidRDefault="00971E02" w:rsidP="00F442BA">
      <w:pPr>
        <w:pStyle w:val="Antrat1"/>
        <w:jc w:val="center"/>
        <w:rPr>
          <w:b/>
        </w:rPr>
      </w:pPr>
      <w:r>
        <w:rPr>
          <w:b/>
        </w:rPr>
        <w:t>201</w:t>
      </w:r>
      <w:r w:rsidR="00555FAC">
        <w:rPr>
          <w:b/>
        </w:rPr>
        <w:t>8</w:t>
      </w:r>
      <w:r w:rsidR="003A6C46">
        <w:rPr>
          <w:b/>
        </w:rPr>
        <w:t xml:space="preserve"> METŲ I KETVIRČIO</w:t>
      </w:r>
      <w:r>
        <w:rPr>
          <w:b/>
        </w:rPr>
        <w:t xml:space="preserve"> FINANSINIŲ ATASKAITŲ</w:t>
      </w:r>
    </w:p>
    <w:p w:rsidR="00971E02" w:rsidRDefault="00971E02" w:rsidP="00971E02">
      <w:pPr>
        <w:jc w:val="center"/>
        <w:rPr>
          <w:b/>
        </w:rPr>
      </w:pPr>
      <w:r w:rsidRPr="00110FE7">
        <w:rPr>
          <w:b/>
        </w:rPr>
        <w:t>AIŠKINAMASIS RAŠTAS</w:t>
      </w:r>
    </w:p>
    <w:p w:rsidR="00971E02" w:rsidRPr="00971E02" w:rsidRDefault="00971E02" w:rsidP="00971E02"/>
    <w:p w:rsidR="00CD19C9" w:rsidRPr="00110FE7" w:rsidRDefault="00CD19C9" w:rsidP="00CD19C9"/>
    <w:p w:rsidR="00CD19C9" w:rsidRDefault="00CD19C9" w:rsidP="00F442BA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A93E13" w:rsidRDefault="00CD19C9" w:rsidP="00CD19C9">
      <w:pPr>
        <w:ind w:left="1800"/>
      </w:pP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g.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opšelio–darželio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Kitos švietimo veiklos rūšys: priešmokyklinio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CF1F33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>
        <w:t>–</w:t>
      </w:r>
      <w:r w:rsidR="00023A46">
        <w:t xml:space="preserve"> 50</w:t>
      </w:r>
      <w:r w:rsidR="00CD19C9">
        <w:t>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>itos teikiamos už 201</w:t>
      </w:r>
      <w:r w:rsidR="00555FAC">
        <w:t>8</w:t>
      </w:r>
      <w:r w:rsidR="00221469">
        <w:t xml:space="preserve"> metų </w:t>
      </w:r>
      <w:r w:rsidR="003A6C46">
        <w:t xml:space="preserve"> I ketvirtį</w:t>
      </w:r>
      <w:r w:rsidR="0029730B">
        <w:t>.</w:t>
      </w:r>
    </w:p>
    <w:p w:rsidR="00CD19C9" w:rsidRDefault="00CD19C9" w:rsidP="00F84C52">
      <w:pPr>
        <w:ind w:firstLine="720"/>
        <w:jc w:val="both"/>
      </w:pPr>
      <w:r>
        <w:t>7. Finansinėse ataskaitose pateikiami duomenys išreikšti Lietuvos Respublikos</w:t>
      </w:r>
      <w:r w:rsidR="0029730B">
        <w:t xml:space="preserve"> piniginiais vienetais – eurais.</w:t>
      </w:r>
    </w:p>
    <w:p w:rsidR="00CD19C9" w:rsidRDefault="00CD19C9" w:rsidP="00CD19C9">
      <w:pPr>
        <w:jc w:val="both"/>
      </w:pPr>
    </w:p>
    <w:p w:rsidR="00CD19C9" w:rsidRDefault="00CD19C9" w:rsidP="00CD19C9">
      <w:pPr>
        <w:jc w:val="both"/>
      </w:pPr>
    </w:p>
    <w:p w:rsidR="00CD19C9" w:rsidRPr="00D27860" w:rsidRDefault="00CD19C9" w:rsidP="00F442BA">
      <w:pPr>
        <w:jc w:val="center"/>
        <w:rPr>
          <w:b/>
        </w:rPr>
      </w:pPr>
      <w:r w:rsidRPr="00D27860">
        <w:rPr>
          <w:b/>
        </w:rPr>
        <w:t>II. APSKAITOS POLITIKA</w:t>
      </w:r>
    </w:p>
    <w:p w:rsidR="00CD19C9" w:rsidRPr="00D27860" w:rsidRDefault="00CD19C9" w:rsidP="00CD19C9">
      <w:pPr>
        <w:ind w:left="900"/>
        <w:jc w:val="both"/>
        <w:rPr>
          <w:b/>
        </w:rPr>
      </w:pPr>
    </w:p>
    <w:p w:rsidR="00913283" w:rsidRDefault="00913283" w:rsidP="00CD19C9">
      <w:pPr>
        <w:jc w:val="both"/>
        <w:rPr>
          <w:i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Pr="00123B87" w:rsidRDefault="00CD19C9" w:rsidP="00F84C52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023A46">
        <w:t>7</w:t>
      </w:r>
      <w:r w:rsidR="00911D32">
        <w:t xml:space="preserve"> </w:t>
      </w:r>
      <w:proofErr w:type="spellStart"/>
      <w:r w:rsidR="001174C3">
        <w:t>m</w:t>
      </w:r>
      <w:proofErr w:type="spellEnd"/>
      <w:r w:rsidR="001174C3">
        <w:t>. gruodžio 31</w:t>
      </w:r>
      <w:r>
        <w:t xml:space="preserve"> d.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D00C4C">
        <w:t>5</w:t>
      </w:r>
      <w:r w:rsidR="00911D32" w:rsidRPr="00123B87">
        <w:t xml:space="preserve"> </w:t>
      </w:r>
      <w:r w:rsidR="00D00C4C">
        <w:t>m. gruodžio 3</w:t>
      </w:r>
      <w:r w:rsidRPr="00123B87">
        <w:t xml:space="preserve"> d. </w:t>
      </w:r>
      <w:r w:rsidR="00D00C4C">
        <w:t>įsakymu Nr. V-43</w:t>
      </w:r>
      <w:r w:rsidR="00911D32" w:rsidRPr="00123B87">
        <w:t>.</w:t>
      </w:r>
    </w:p>
    <w:p w:rsidR="00CD19C9" w:rsidRDefault="00CD19C9" w:rsidP="00CD19C9">
      <w:pPr>
        <w:ind w:left="737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994902" w:rsidRDefault="00994902" w:rsidP="00CD19C9">
      <w:pPr>
        <w:ind w:firstLine="360"/>
        <w:jc w:val="center"/>
        <w:rPr>
          <w:b/>
          <w:bCs/>
        </w:rPr>
      </w:pPr>
    </w:p>
    <w:p w:rsidR="00994902" w:rsidRDefault="00D4672F" w:rsidP="00994902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023A46">
        <w:rPr>
          <w:b/>
          <w:bCs/>
        </w:rPr>
        <w:t xml:space="preserve">364819,16 </w:t>
      </w:r>
      <w:proofErr w:type="spellStart"/>
      <w:r w:rsidR="00023A46">
        <w:rPr>
          <w:b/>
          <w:bCs/>
        </w:rPr>
        <w:t>Eur</w:t>
      </w:r>
      <w:proofErr w:type="spellEnd"/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Default="00CD19C9" w:rsidP="007F4856">
      <w:pPr>
        <w:pStyle w:val="Betarp"/>
      </w:pPr>
    </w:p>
    <w:p w:rsidR="00CD19C9" w:rsidRDefault="007F4856" w:rsidP="007F4856">
      <w:pPr>
        <w:pStyle w:val="Betarp"/>
      </w:pPr>
      <w:r>
        <w:t xml:space="preserve">             </w:t>
      </w:r>
      <w:r w:rsidR="00CD19C9">
        <w:t>pastatas</w:t>
      </w:r>
      <w:r>
        <w:t xml:space="preserve"> </w:t>
      </w:r>
      <w:r w:rsidR="00DD2C2B">
        <w:t>(</w:t>
      </w:r>
      <w:r w:rsidR="00023A46">
        <w:t xml:space="preserve">313200,89 </w:t>
      </w:r>
      <w:proofErr w:type="spellStart"/>
      <w:r>
        <w:t>Eur</w:t>
      </w:r>
      <w:proofErr w:type="spellEnd"/>
      <w:r w:rsidR="00D00C4C">
        <w:t>)</w:t>
      </w:r>
      <w:r w:rsidR="00DD2C2B">
        <w:t xml:space="preserve">, kitos mašinos ir </w:t>
      </w:r>
      <w:r w:rsidR="00CD19C9">
        <w:t>įrenginiai</w:t>
      </w:r>
      <w:r w:rsidR="003A6C46">
        <w:t xml:space="preserve"> (</w:t>
      </w:r>
      <w:r w:rsidR="00023A46">
        <w:t>6310,49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),</w:t>
      </w:r>
      <w:r>
        <w:t xml:space="preserve"> </w:t>
      </w:r>
      <w:r w:rsidR="00CD19C9">
        <w:t>baldai</w:t>
      </w:r>
      <w:r>
        <w:t xml:space="preserve"> </w:t>
      </w:r>
      <w:r w:rsidR="003A6C46">
        <w:t>(</w:t>
      </w:r>
      <w:r w:rsidR="00023A46">
        <w:t>1661,36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kompiuterinė</w:t>
      </w:r>
      <w:r w:rsidR="003A6C46">
        <w:t xml:space="preserve"> įranga</w:t>
      </w:r>
      <w:r>
        <w:t xml:space="preserve"> </w:t>
      </w:r>
      <w:r w:rsidR="003A6C46">
        <w:t>(</w:t>
      </w:r>
      <w:r w:rsidR="009943F6">
        <w:t xml:space="preserve">258,73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kita</w:t>
      </w:r>
      <w:r>
        <w:t xml:space="preserve"> </w:t>
      </w:r>
      <w:r w:rsidR="00CD19C9">
        <w:t>biuro</w:t>
      </w:r>
      <w:r w:rsidR="00D4672F">
        <w:t xml:space="preserve"> įranga</w:t>
      </w:r>
      <w:r>
        <w:t xml:space="preserve"> </w:t>
      </w:r>
      <w:r w:rsidR="003A6C46">
        <w:t>(</w:t>
      </w:r>
      <w:r w:rsidR="009943F6">
        <w:t xml:space="preserve">1819,24 </w:t>
      </w:r>
      <w:proofErr w:type="spellStart"/>
      <w:r w:rsidR="003A6C46">
        <w:t>E</w:t>
      </w:r>
      <w:r w:rsidR="00D130B8">
        <w:t>ur</w:t>
      </w:r>
      <w:proofErr w:type="spellEnd"/>
      <w:r w:rsidR="00D130B8">
        <w:t>.)</w:t>
      </w:r>
      <w:r w:rsidR="00D4672F">
        <w:t>, infrastruktūros ir kiti statiniai</w:t>
      </w:r>
      <w:r>
        <w:t xml:space="preserve"> </w:t>
      </w:r>
      <w:r w:rsidR="003A6C46">
        <w:t>(</w:t>
      </w:r>
      <w:r w:rsidR="009943F6">
        <w:t xml:space="preserve">41568,45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>
        <w:t xml:space="preserve"> (FBA</w:t>
      </w:r>
      <w:r w:rsidR="00D4672F">
        <w:t>,</w:t>
      </w:r>
      <w:r>
        <w:t xml:space="preserve"> </w:t>
      </w:r>
      <w:proofErr w:type="spellStart"/>
      <w:r w:rsidR="00D4672F">
        <w:t>eil</w:t>
      </w:r>
      <w:proofErr w:type="spellEnd"/>
      <w:r w:rsidR="00D4672F">
        <w:t>. Nr. A.II)</w:t>
      </w:r>
      <w:r w:rsidR="00CD19C9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Pr="00023E1B">
        <w:rPr>
          <w:b/>
          <w:bCs/>
        </w:rPr>
        <w:t>2.</w:t>
      </w:r>
      <w:r w:rsidR="00FF2230">
        <w:rPr>
          <w:b/>
          <w:bCs/>
        </w:rPr>
        <w:t xml:space="preserve">Trumpalaikį turtą – </w:t>
      </w:r>
      <w:r w:rsidR="00FB1CEE">
        <w:rPr>
          <w:b/>
          <w:bCs/>
        </w:rPr>
        <w:t xml:space="preserve">98135,05 </w:t>
      </w:r>
      <w:proofErr w:type="spellStart"/>
      <w:r w:rsidR="00FB1CEE">
        <w:rPr>
          <w:b/>
          <w:bCs/>
        </w:rPr>
        <w:t>Eur</w:t>
      </w:r>
      <w:proofErr w:type="spellEnd"/>
      <w:r w:rsidR="00023E1B" w:rsidRPr="00023E1B">
        <w:rPr>
          <w:b/>
          <w:bCs/>
        </w:rPr>
        <w:t xml:space="preserve"> 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FB1CEE">
        <w:rPr>
          <w:bCs/>
        </w:rPr>
        <w:t xml:space="preserve">480,62 </w:t>
      </w:r>
      <w:r w:rsidR="00FF2230">
        <w:rPr>
          <w:bCs/>
        </w:rPr>
        <w:t>E</w:t>
      </w:r>
      <w:r w:rsidR="007F4856">
        <w:rPr>
          <w:bCs/>
        </w:rPr>
        <w:t>ur);</w:t>
      </w:r>
      <w:r w:rsidR="00FF2230">
        <w:rPr>
          <w:bCs/>
        </w:rPr>
        <w:t>(FBA,eil.C.1.2);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 xml:space="preserve">Gautinas finansavimo sumas (FBA, eil. Nr. C.III.3) 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FF2230">
        <w:rPr>
          <w:bCs/>
        </w:rPr>
        <w:t xml:space="preserve"> </w:t>
      </w:r>
      <w:r w:rsidR="00FB1CEE">
        <w:rPr>
          <w:bCs/>
        </w:rPr>
        <w:t xml:space="preserve">933,81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>Gautinas sumas už turto naudojimą, parduotas prekes, turtą, paslaugas (FBA, eil</w:t>
      </w:r>
      <w:r w:rsidR="00F84C52">
        <w:rPr>
          <w:bCs/>
        </w:rPr>
        <w:t>.</w:t>
      </w:r>
      <w:r w:rsidR="00CD19C9">
        <w:rPr>
          <w:bCs/>
        </w:rPr>
        <w:t xml:space="preserve"> Nr.</w:t>
      </w:r>
      <w:r w:rsidR="00F84C52">
        <w:rPr>
          <w:bCs/>
        </w:rPr>
        <w:t xml:space="preserve"> </w:t>
      </w:r>
      <w:r>
        <w:rPr>
          <w:bCs/>
        </w:rPr>
        <w:t>C.III.4)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FB1CEE">
        <w:rPr>
          <w:bCs/>
        </w:rPr>
        <w:t xml:space="preserve">11005,76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>Sukauptas gautinas sumas (FBA, eil</w:t>
      </w:r>
      <w:r w:rsidR="00F84C52">
        <w:rPr>
          <w:bCs/>
        </w:rPr>
        <w:t>.</w:t>
      </w:r>
      <w:r w:rsidR="00CD19C9">
        <w:rPr>
          <w:bCs/>
        </w:rPr>
        <w:t xml:space="preserve"> Nr.</w:t>
      </w:r>
      <w:r w:rsidR="00F84C52">
        <w:rPr>
          <w:bCs/>
        </w:rPr>
        <w:t xml:space="preserve"> </w:t>
      </w:r>
      <w:r w:rsidR="00CD19C9">
        <w:rPr>
          <w:bCs/>
        </w:rPr>
        <w:t>C.III.5) sudaro sukauptos finansavimo pajamos kreditiniam įsiskolinimui ir sukauptiems atostoginiams pade</w:t>
      </w:r>
      <w:r>
        <w:rPr>
          <w:bCs/>
        </w:rPr>
        <w:t xml:space="preserve">ngti </w:t>
      </w:r>
      <w:r w:rsidR="00F84C52">
        <w:rPr>
          <w:bCs/>
        </w:rPr>
        <w:t xml:space="preserve"> – </w:t>
      </w:r>
      <w:r w:rsidR="00FB1CEE">
        <w:rPr>
          <w:bCs/>
        </w:rPr>
        <w:t xml:space="preserve">71134,36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.</w:t>
      </w:r>
    </w:p>
    <w:p w:rsidR="00AD766A" w:rsidRDefault="00FF2230" w:rsidP="001C249D">
      <w:pPr>
        <w:jc w:val="both"/>
        <w:rPr>
          <w:bCs/>
        </w:rPr>
      </w:pPr>
      <w:r>
        <w:rPr>
          <w:bCs/>
        </w:rPr>
        <w:t xml:space="preserve">          </w:t>
      </w:r>
      <w:r w:rsidR="00AD766A">
        <w:rPr>
          <w:bCs/>
        </w:rPr>
        <w:t>Kitas gautinas sumas</w:t>
      </w:r>
      <w:r w:rsidR="000C2EB8">
        <w:rPr>
          <w:bCs/>
        </w:rPr>
        <w:t xml:space="preserve"> </w:t>
      </w:r>
      <w:r w:rsidR="00AD766A">
        <w:rPr>
          <w:bCs/>
        </w:rPr>
        <w:t xml:space="preserve">(FBA, eil. Nr. C.III.6) sudaro </w:t>
      </w:r>
      <w:r>
        <w:rPr>
          <w:bCs/>
        </w:rPr>
        <w:t>specialiųjų</w:t>
      </w:r>
      <w:r w:rsidR="00584AB2">
        <w:rPr>
          <w:bCs/>
        </w:rPr>
        <w:t xml:space="preserve"> programų lėšos</w:t>
      </w:r>
      <w:r w:rsidR="000C2EB8">
        <w:rPr>
          <w:bCs/>
        </w:rPr>
        <w:t xml:space="preserve"> </w:t>
      </w:r>
      <w:r>
        <w:rPr>
          <w:bCs/>
        </w:rPr>
        <w:t>(</w:t>
      </w:r>
      <w:r w:rsidR="00FB1CEE">
        <w:rPr>
          <w:bCs/>
        </w:rPr>
        <w:t xml:space="preserve">9638,37 </w:t>
      </w:r>
      <w:proofErr w:type="spellStart"/>
      <w:r>
        <w:rPr>
          <w:bCs/>
        </w:rPr>
        <w:t>Eur</w:t>
      </w:r>
      <w:proofErr w:type="spellEnd"/>
      <w:r>
        <w:rPr>
          <w:bCs/>
        </w:rPr>
        <w:t>)</w:t>
      </w:r>
      <w:r w:rsidR="000C2EB8">
        <w:rPr>
          <w:bCs/>
        </w:rPr>
        <w:t xml:space="preserve"> 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lastRenderedPageBreak/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FB1CEE">
        <w:rPr>
          <w:b/>
          <w:bCs/>
        </w:rPr>
        <w:t xml:space="preserve">4942,13 </w:t>
      </w:r>
      <w:proofErr w:type="spellStart"/>
      <w:r w:rsidR="00FF2230">
        <w:rPr>
          <w:b/>
          <w:bCs/>
        </w:rPr>
        <w:t>E</w:t>
      </w:r>
      <w:r w:rsidR="008C6908">
        <w:rPr>
          <w:b/>
          <w:bCs/>
        </w:rPr>
        <w:t>ur</w:t>
      </w:r>
      <w:proofErr w:type="spellEnd"/>
      <w:r w:rsidR="008C6908">
        <w:rPr>
          <w:b/>
          <w:bCs/>
        </w:rPr>
        <w:t>.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D2202">
        <w:rPr>
          <w:bCs/>
        </w:rPr>
        <w:t xml:space="preserve"> </w:t>
      </w:r>
      <w:r w:rsidR="00FB1CEE">
        <w:rPr>
          <w:bCs/>
        </w:rPr>
        <w:t xml:space="preserve">193,82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584AB2">
        <w:rPr>
          <w:bCs/>
        </w:rPr>
        <w:t xml:space="preserve">      </w:t>
      </w:r>
      <w:r w:rsidR="000C2EB8">
        <w:rPr>
          <w:bCs/>
        </w:rPr>
        <w:t xml:space="preserve"> </w:t>
      </w:r>
      <w:r w:rsidR="00FF2230">
        <w:rPr>
          <w:bCs/>
        </w:rPr>
        <w:t xml:space="preserve"> </w:t>
      </w:r>
      <w:r w:rsidR="00FB1CEE">
        <w:rPr>
          <w:bCs/>
        </w:rPr>
        <w:t xml:space="preserve">136,20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 </w:t>
      </w:r>
      <w:r w:rsidR="004D2202">
        <w:rPr>
          <w:bCs/>
        </w:rPr>
        <w:t xml:space="preserve">                 </w:t>
      </w:r>
      <w:r w:rsidR="000C2EB8">
        <w:rPr>
          <w:bCs/>
        </w:rPr>
        <w:t xml:space="preserve">  </w:t>
      </w:r>
      <w:r w:rsidR="007C337B">
        <w:rPr>
          <w:bCs/>
        </w:rPr>
        <w:t xml:space="preserve">263,85 </w:t>
      </w:r>
      <w:proofErr w:type="spellStart"/>
      <w:r w:rsidR="007C337B">
        <w:rPr>
          <w:bCs/>
        </w:rPr>
        <w:t>Eur</w:t>
      </w:r>
      <w:proofErr w:type="spellEnd"/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                    </w:t>
      </w:r>
      <w:r w:rsidR="000C2EB8">
        <w:rPr>
          <w:bCs/>
        </w:rPr>
        <w:t xml:space="preserve">    </w:t>
      </w:r>
      <w:r w:rsidR="007C337B">
        <w:rPr>
          <w:bCs/>
        </w:rPr>
        <w:t xml:space="preserve">4236,80 </w:t>
      </w:r>
      <w:proofErr w:type="spellStart"/>
      <w:r w:rsidR="007C337B">
        <w:rPr>
          <w:bCs/>
        </w:rPr>
        <w:t>Eur</w:t>
      </w:r>
      <w:proofErr w:type="spellEnd"/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spec</w:t>
      </w:r>
      <w:proofErr w:type="spellEnd"/>
      <w:r>
        <w:rPr>
          <w:bCs/>
        </w:rPr>
        <w:t>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-                   </w:t>
      </w:r>
      <w:r w:rsidR="004D2202">
        <w:rPr>
          <w:bCs/>
        </w:rPr>
        <w:t xml:space="preserve"> </w:t>
      </w:r>
      <w:r w:rsidR="000C2EB8">
        <w:rPr>
          <w:bCs/>
        </w:rPr>
        <w:t xml:space="preserve">  </w:t>
      </w:r>
      <w:r w:rsidR="000B3A9A">
        <w:rPr>
          <w:bCs/>
        </w:rPr>
        <w:t xml:space="preserve"> </w:t>
      </w:r>
      <w:r w:rsidR="007C337B">
        <w:rPr>
          <w:bCs/>
        </w:rPr>
        <w:t xml:space="preserve">111,46 </w:t>
      </w:r>
      <w:proofErr w:type="spellStart"/>
      <w:r w:rsidR="007C337B">
        <w:rPr>
          <w:bCs/>
        </w:rPr>
        <w:t>Eur</w:t>
      </w:r>
      <w:proofErr w:type="spellEnd"/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>. Informacija apie finansavimo sumas pagal šaltinį, paskirtį ir jų pokyč</w:t>
      </w:r>
      <w:r w:rsidR="00F84C52" w:rsidRPr="00DE1817">
        <w:rPr>
          <w:b/>
          <w:bCs/>
        </w:rPr>
        <w:t xml:space="preserve">ius per ataskaitinį laikotarpį </w:t>
      </w:r>
      <w:r w:rsidR="00CD19C9" w:rsidRPr="00DE1817">
        <w:rPr>
          <w:b/>
          <w:bCs/>
        </w:rPr>
        <w:t>pateikiama pag</w:t>
      </w:r>
      <w:r w:rsidR="00995A29" w:rsidRPr="00DE1817">
        <w:rPr>
          <w:b/>
          <w:bCs/>
        </w:rPr>
        <w:t>al 20-to VSAFAS 4 priedo formą</w:t>
      </w:r>
      <w:r w:rsidR="00995A29">
        <w:rPr>
          <w:bCs/>
        </w:rPr>
        <w:t xml:space="preserve"> 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g</w:t>
      </w:r>
      <w:r w:rsidR="00CD19C9">
        <w:rPr>
          <w:bCs/>
        </w:rPr>
        <w:t>autų finansavimo sumų iš valstybės biudžeto likutį ataskaitinio laikotarpio pabaigoje (FBA, eil. Nr. D.I)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7C337B">
        <w:rPr>
          <w:bCs/>
        </w:rPr>
        <w:t xml:space="preserve">136,20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7C337B">
        <w:rPr>
          <w:bCs/>
        </w:rPr>
        <w:t>).</w:t>
      </w:r>
    </w:p>
    <w:p w:rsidR="00CC3454" w:rsidRDefault="00CD19C9" w:rsidP="000C2EB8">
      <w:pPr>
        <w:ind w:firstLine="720"/>
        <w:jc w:val="both"/>
        <w:rPr>
          <w:bCs/>
        </w:rPr>
      </w:pPr>
      <w:r>
        <w:rPr>
          <w:bCs/>
        </w:rPr>
        <w:t xml:space="preserve"> Gautų finansavimo sumų iš savivaldybės biudžeto likutį ataskaitinio laikotarpio pabaigoje (FBA, eil. Nr. D.II) sudaro sumos, gautos nepiniginiam turtui įsigyti, lygios ilgalaikio materialiojo turto likutinei vertei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7C337B">
        <w:rPr>
          <w:bCs/>
        </w:rPr>
        <w:t xml:space="preserve">356069,48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7C337B">
        <w:rPr>
          <w:bCs/>
        </w:rPr>
        <w:t xml:space="preserve">193,82 </w:t>
      </w:r>
      <w:proofErr w:type="spellStart"/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proofErr w:type="spellEnd"/>
      <w:r w:rsidR="004D2202">
        <w:rPr>
          <w:bCs/>
        </w:rPr>
        <w:t>)</w:t>
      </w:r>
      <w:r w:rsidR="00BD08E5">
        <w:rPr>
          <w:bCs/>
        </w:rPr>
        <w:t xml:space="preserve">, nepanaudotos nemokamo maitinimo lėšos (10,24 </w:t>
      </w:r>
      <w:proofErr w:type="spellStart"/>
      <w:r w:rsidR="00BD08E5">
        <w:rPr>
          <w:bCs/>
        </w:rPr>
        <w:t>Eur</w:t>
      </w:r>
      <w:proofErr w:type="spellEnd"/>
      <w:r w:rsidR="00BD08E5">
        <w:rPr>
          <w:bCs/>
        </w:rPr>
        <w:t xml:space="preserve">)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BD08E5">
        <w:rPr>
          <w:bCs/>
        </w:rPr>
        <w:t xml:space="preserve">933,81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0B3A9A">
        <w:rPr>
          <w:bCs/>
        </w:rPr>
        <w:t>)</w:t>
      </w:r>
      <w:r w:rsidR="00E604A3">
        <w:rPr>
          <w:bCs/>
        </w:rPr>
        <w:t>.</w:t>
      </w:r>
      <w:r w:rsidRPr="004F33A2">
        <w:rPr>
          <w:bCs/>
        </w:rPr>
        <w:t xml:space="preserve"> </w:t>
      </w:r>
    </w:p>
    <w:p w:rsidR="00CD19C9" w:rsidRDefault="00CD19C9" w:rsidP="00F84C52">
      <w:pPr>
        <w:ind w:firstLine="720"/>
        <w:jc w:val="both"/>
        <w:rPr>
          <w:bCs/>
        </w:rPr>
      </w:pPr>
      <w:r>
        <w:rPr>
          <w:bCs/>
        </w:rPr>
        <w:t>Gautų finansavimo sumų iš kitų šaltinių likutį ataskaitinio laikotarpio pabaigoje (FBA, eil. Nr. D.IV) sudaro sumos, gautos nepiniginiam tur</w:t>
      </w:r>
      <w:r w:rsidR="00E604A3">
        <w:rPr>
          <w:bCs/>
        </w:rPr>
        <w:t xml:space="preserve">tui įsigyti, lygios </w:t>
      </w:r>
      <w:r>
        <w:rPr>
          <w:bCs/>
        </w:rPr>
        <w:t>materialiojo turto likutinei vertei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BD08E5">
        <w:rPr>
          <w:bCs/>
        </w:rPr>
        <w:t xml:space="preserve">3740,88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824724">
        <w:rPr>
          <w:bCs/>
        </w:rPr>
        <w:t>)</w:t>
      </w:r>
      <w:r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CB0D05">
        <w:rPr>
          <w:bCs/>
        </w:rPr>
        <w:t xml:space="preserve">4226,56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(FBA,</w:t>
      </w:r>
      <w:r w:rsidR="00DD2C2B">
        <w:rPr>
          <w:bCs/>
        </w:rPr>
        <w:t xml:space="preserve"> </w:t>
      </w:r>
      <w:r w:rsidR="00E604A3">
        <w:rPr>
          <w:bCs/>
        </w:rPr>
        <w:t>eil.</w:t>
      </w:r>
      <w:r w:rsidR="00DD2C2B">
        <w:rPr>
          <w:bCs/>
        </w:rPr>
        <w:t xml:space="preserve"> </w:t>
      </w:r>
      <w:r w:rsidR="00E604A3">
        <w:rPr>
          <w:bCs/>
        </w:rPr>
        <w:t>Nr.</w:t>
      </w:r>
      <w:r w:rsidR="00DD2C2B">
        <w:rPr>
          <w:bCs/>
        </w:rPr>
        <w:t xml:space="preserve"> </w:t>
      </w:r>
      <w:r w:rsidR="000B3A9A">
        <w:rPr>
          <w:bCs/>
        </w:rPr>
        <w:t xml:space="preserve">E.II) – </w:t>
      </w:r>
      <w:r w:rsidR="00CB0D05">
        <w:rPr>
          <w:bCs/>
        </w:rPr>
        <w:t xml:space="preserve">75015,76 </w:t>
      </w:r>
      <w:proofErr w:type="spellStart"/>
      <w:r w:rsidR="000B3A9A">
        <w:rPr>
          <w:bCs/>
        </w:rPr>
        <w:t>E</w:t>
      </w:r>
      <w:r w:rsidR="00262F36">
        <w:rPr>
          <w:bCs/>
        </w:rPr>
        <w:t>ur</w:t>
      </w:r>
      <w:proofErr w:type="spellEnd"/>
      <w:r w:rsidR="00262F36">
        <w:rPr>
          <w:bCs/>
        </w:rPr>
        <w:t>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CD19C9" w:rsidRPr="00DE1817">
        <w:rPr>
          <w:b/>
          <w:bCs/>
        </w:rPr>
        <w:t>Tiekėjams mokėtinas sumas (FBA, eil. Nr. E.II. 9)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Eil. Nr.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3099,29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312,72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4867D1" w:rsidP="00E070E4">
            <w:r>
              <w:t>UAB „</w:t>
            </w:r>
            <w:proofErr w:type="spellStart"/>
            <w:r w:rsidR="00CB0D05">
              <w:t>Enefit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182,47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4</w:t>
            </w:r>
          </w:p>
        </w:tc>
        <w:tc>
          <w:tcPr>
            <w:tcW w:w="4775" w:type="dxa"/>
            <w:shd w:val="clear" w:color="auto" w:fill="auto"/>
          </w:tcPr>
          <w:p w:rsidR="00CD19C9" w:rsidRDefault="006E13BA" w:rsidP="00E070E4">
            <w:r>
              <w:t>UAB</w:t>
            </w:r>
            <w:r w:rsidR="00DD2C2B">
              <w:t xml:space="preserve"> </w:t>
            </w:r>
            <w:r>
              <w:t xml:space="preserve"> „</w:t>
            </w:r>
            <w:proofErr w:type="spellStart"/>
            <w:r w:rsidR="00CD19C9">
              <w:t>Splius</w:t>
            </w:r>
            <w:proofErr w:type="spellEnd"/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5,80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5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45,54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6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Telia Lietuva, AB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5,95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7</w:t>
            </w:r>
          </w:p>
        </w:tc>
        <w:tc>
          <w:tcPr>
            <w:tcW w:w="4775" w:type="dxa"/>
            <w:shd w:val="clear" w:color="auto" w:fill="auto"/>
          </w:tcPr>
          <w:p w:rsidR="00CD19C9" w:rsidRDefault="00E450CF" w:rsidP="00E070E4">
            <w:r>
              <w:t>UAB</w:t>
            </w:r>
            <w:r w:rsidR="00DD2C2B">
              <w:t xml:space="preserve"> </w:t>
            </w:r>
            <w:r w:rsidR="004867D1">
              <w:t>„</w:t>
            </w:r>
            <w:r w:rsidR="001C5CC6">
              <w:t>Grūstė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1795,26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8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0C2EB8">
            <w:pPr>
              <w:jc w:val="right"/>
            </w:pPr>
            <w:r w:rsidRPr="00210E4D">
              <w:t>254,25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CD19C9" w:rsidRPr="003F1BD3" w:rsidRDefault="00E857CB" w:rsidP="006C16D5">
            <w:pPr>
              <w:jc w:val="center"/>
            </w:pPr>
            <w:r>
              <w:t>9</w:t>
            </w:r>
          </w:p>
        </w:tc>
        <w:tc>
          <w:tcPr>
            <w:tcW w:w="4775" w:type="dxa"/>
            <w:shd w:val="clear" w:color="auto" w:fill="auto"/>
          </w:tcPr>
          <w:p w:rsidR="00CD19C9" w:rsidRPr="003F1BD3" w:rsidRDefault="001C5CC6" w:rsidP="00E070E4">
            <w:r>
              <w:t>Šiaulių švietimo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CB0D05" w:rsidP="00CB0D05">
            <w:pPr>
              <w:jc w:val="right"/>
            </w:pPr>
            <w:r w:rsidRPr="00210E4D">
              <w:t>68,00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Pr="003F1BD3" w:rsidRDefault="00E857CB" w:rsidP="006C16D5">
            <w:pPr>
              <w:jc w:val="center"/>
            </w:pPr>
            <w:r>
              <w:t>10</w:t>
            </w:r>
          </w:p>
        </w:tc>
        <w:tc>
          <w:tcPr>
            <w:tcW w:w="4775" w:type="dxa"/>
            <w:shd w:val="clear" w:color="auto" w:fill="auto"/>
          </w:tcPr>
          <w:p w:rsidR="004867D1" w:rsidRPr="003F1BD3" w:rsidRDefault="001C5CC6" w:rsidP="00CB0D05">
            <w:r>
              <w:t>UAB “</w:t>
            </w:r>
            <w:r w:rsidR="00CB0D05">
              <w:t>ITservis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CB0D05" w:rsidP="000C2EB8">
            <w:pPr>
              <w:jc w:val="right"/>
            </w:pPr>
            <w:r w:rsidRPr="00210E4D">
              <w:t>37,51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4867D1" w:rsidP="006C16D5">
            <w:pPr>
              <w:jc w:val="center"/>
            </w:pPr>
            <w:r>
              <w:t>1</w:t>
            </w:r>
            <w:r w:rsidR="00E857CB">
              <w:t>1</w:t>
            </w:r>
          </w:p>
        </w:tc>
        <w:tc>
          <w:tcPr>
            <w:tcW w:w="4775" w:type="dxa"/>
            <w:shd w:val="clear" w:color="auto" w:fill="auto"/>
          </w:tcPr>
          <w:p w:rsidR="004867D1" w:rsidRDefault="00210E4D" w:rsidP="00E070E4">
            <w:r>
              <w:t>K.J. Vasiliausko įmonė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210E4D" w:rsidP="000C2EB8">
            <w:pPr>
              <w:tabs>
                <w:tab w:val="center" w:pos="1126"/>
              </w:tabs>
              <w:jc w:val="right"/>
            </w:pPr>
            <w:r w:rsidRPr="00210E4D">
              <w:t>60,90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83ECB" w:rsidP="006C16D5">
            <w:pPr>
              <w:jc w:val="center"/>
            </w:pPr>
            <w:r>
              <w:t>I2</w:t>
            </w:r>
          </w:p>
        </w:tc>
        <w:tc>
          <w:tcPr>
            <w:tcW w:w="4775" w:type="dxa"/>
            <w:shd w:val="clear" w:color="auto" w:fill="auto"/>
          </w:tcPr>
          <w:p w:rsidR="004867D1" w:rsidRDefault="007F2A9E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 w:rsidR="00CB0D05">
              <w:t>Maistinė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CB0D05" w:rsidP="000C2EB8">
            <w:pPr>
              <w:jc w:val="right"/>
            </w:pPr>
            <w:r w:rsidRPr="00210E4D">
              <w:t>373,56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83ECB" w:rsidP="006C16D5">
            <w:pPr>
              <w:jc w:val="center"/>
            </w:pPr>
            <w:r>
              <w:t>13</w:t>
            </w:r>
          </w:p>
        </w:tc>
        <w:tc>
          <w:tcPr>
            <w:tcW w:w="4775" w:type="dxa"/>
            <w:shd w:val="clear" w:color="auto" w:fill="auto"/>
          </w:tcPr>
          <w:p w:rsidR="004867D1" w:rsidRDefault="007F4856" w:rsidP="00E070E4">
            <w:r>
              <w:t>Saugos tarnyba „</w:t>
            </w:r>
            <w:r w:rsidR="001D1DD8">
              <w:t>Argus</w:t>
            </w:r>
            <w:r w:rsidR="00183ECB"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7F2A9E" w:rsidP="000C2EB8">
            <w:pPr>
              <w:jc w:val="right"/>
            </w:pPr>
            <w:r w:rsidRPr="00210E4D">
              <w:t>35,04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7F2A9E" w:rsidRDefault="007F2A9E" w:rsidP="006C16D5">
            <w:pPr>
              <w:jc w:val="center"/>
            </w:pPr>
            <w:r>
              <w:t>14</w:t>
            </w:r>
          </w:p>
        </w:tc>
        <w:tc>
          <w:tcPr>
            <w:tcW w:w="4775" w:type="dxa"/>
            <w:shd w:val="clear" w:color="auto" w:fill="auto"/>
          </w:tcPr>
          <w:p w:rsidR="007F2A9E" w:rsidRDefault="00210E4D" w:rsidP="00210E4D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Šiaulių skalbykla</w:t>
            </w:r>
            <w:r w:rsidR="007F2A9E">
              <w:t>“</w:t>
            </w:r>
          </w:p>
        </w:tc>
        <w:tc>
          <w:tcPr>
            <w:tcW w:w="2469" w:type="dxa"/>
            <w:shd w:val="clear" w:color="auto" w:fill="auto"/>
          </w:tcPr>
          <w:p w:rsidR="007F2A9E" w:rsidRPr="00210E4D" w:rsidRDefault="00210E4D" w:rsidP="000C2EB8">
            <w:pPr>
              <w:jc w:val="right"/>
            </w:pPr>
            <w:r w:rsidRPr="00210E4D">
              <w:t>57,39</w:t>
            </w:r>
          </w:p>
        </w:tc>
      </w:tr>
      <w:tr w:rsidR="007F2A9E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7F2A9E" w:rsidRDefault="007F2A9E" w:rsidP="006C16D5">
            <w:pPr>
              <w:jc w:val="center"/>
            </w:pPr>
            <w:r>
              <w:t>15</w:t>
            </w:r>
          </w:p>
        </w:tc>
        <w:tc>
          <w:tcPr>
            <w:tcW w:w="4775" w:type="dxa"/>
            <w:shd w:val="clear" w:color="auto" w:fill="auto"/>
          </w:tcPr>
          <w:p w:rsidR="007F2A9E" w:rsidRDefault="00210E4D" w:rsidP="00E070E4">
            <w:r>
              <w:t>UAB „</w:t>
            </w:r>
            <w:proofErr w:type="spellStart"/>
            <w:r>
              <w:t>Officeday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7F2A9E" w:rsidRDefault="00210E4D" w:rsidP="000C2EB8">
            <w:pPr>
              <w:jc w:val="right"/>
            </w:pPr>
            <w:r>
              <w:t>59,29</w:t>
            </w:r>
          </w:p>
        </w:tc>
      </w:tr>
      <w:tr w:rsidR="004E421F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E421F" w:rsidRDefault="004E421F" w:rsidP="006C16D5">
            <w:pPr>
              <w:jc w:val="center"/>
            </w:pPr>
            <w:r>
              <w:t>16</w:t>
            </w:r>
          </w:p>
        </w:tc>
        <w:tc>
          <w:tcPr>
            <w:tcW w:w="4775" w:type="dxa"/>
            <w:shd w:val="clear" w:color="auto" w:fill="auto"/>
          </w:tcPr>
          <w:p w:rsidR="004E421F" w:rsidRDefault="00210E4D" w:rsidP="00E070E4">
            <w:r>
              <w:t>UAB „Šiaulių lyra“</w:t>
            </w:r>
          </w:p>
        </w:tc>
        <w:tc>
          <w:tcPr>
            <w:tcW w:w="2469" w:type="dxa"/>
            <w:shd w:val="clear" w:color="auto" w:fill="auto"/>
          </w:tcPr>
          <w:p w:rsidR="004E421F" w:rsidRDefault="00210E4D" w:rsidP="000C2EB8">
            <w:pPr>
              <w:jc w:val="right"/>
            </w:pPr>
            <w:r>
              <w:t>62,41</w:t>
            </w:r>
          </w:p>
        </w:tc>
      </w:tr>
      <w:tr w:rsidR="004E421F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E421F" w:rsidRDefault="004E421F" w:rsidP="006C16D5">
            <w:pPr>
              <w:jc w:val="center"/>
            </w:pPr>
            <w:r>
              <w:t>17</w:t>
            </w:r>
          </w:p>
        </w:tc>
        <w:tc>
          <w:tcPr>
            <w:tcW w:w="4775" w:type="dxa"/>
            <w:shd w:val="clear" w:color="auto" w:fill="auto"/>
          </w:tcPr>
          <w:p w:rsidR="004E421F" w:rsidRDefault="00210E4D" w:rsidP="00E070E4">
            <w:r>
              <w:t>AB „Žemaitijos pienas“</w:t>
            </w:r>
          </w:p>
        </w:tc>
        <w:tc>
          <w:tcPr>
            <w:tcW w:w="2469" w:type="dxa"/>
            <w:shd w:val="clear" w:color="auto" w:fill="auto"/>
          </w:tcPr>
          <w:p w:rsidR="004E421F" w:rsidRDefault="00210E4D" w:rsidP="000C2EB8">
            <w:pPr>
              <w:jc w:val="right"/>
            </w:pPr>
            <w:r>
              <w:t>332,85</w:t>
            </w:r>
          </w:p>
        </w:tc>
      </w:tr>
      <w:tr w:rsidR="00CD19C9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CD19C9" w:rsidRPr="006C16D5" w:rsidRDefault="004E421F" w:rsidP="00E070E4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="00CD19C9"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10E4D" w:rsidP="000C2EB8">
            <w:pPr>
              <w:jc w:val="right"/>
              <w:rPr>
                <w:b/>
              </w:rPr>
            </w:pPr>
            <w:r>
              <w:rPr>
                <w:b/>
              </w:rPr>
              <w:t>6788,23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CD19C9" w:rsidRPr="00DE1817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7</w:t>
      </w:r>
      <w:r w:rsidR="00CD19C9" w:rsidRPr="00DE1817">
        <w:rPr>
          <w:b/>
          <w:bCs/>
        </w:rPr>
        <w:t>. Su darbo santykiais susiję įsipareigo</w:t>
      </w:r>
      <w:r w:rsidRPr="00DE1817">
        <w:rPr>
          <w:b/>
          <w:bCs/>
        </w:rPr>
        <w:t>jimai (FBA, eil. Nr. E.II. 10</w:t>
      </w:r>
      <w:r w:rsidR="00CD19C9" w:rsidRPr="00DE1817">
        <w:rPr>
          <w:b/>
          <w:bCs/>
        </w:rPr>
        <w:t>)</w:t>
      </w:r>
      <w:r w:rsidR="00AB4D7F">
        <w:rPr>
          <w:b/>
          <w:bCs/>
        </w:rPr>
        <w:t xml:space="preserve"> sudaro</w:t>
      </w:r>
      <w:r w:rsidR="00202497">
        <w:rPr>
          <w:b/>
          <w:bCs/>
        </w:rPr>
        <w:t xml:space="preserve"> </w:t>
      </w:r>
      <w:r w:rsidR="00CD19C9" w:rsidRPr="00DE1817">
        <w:rPr>
          <w:b/>
          <w:bCs/>
        </w:rPr>
        <w:t xml:space="preserve"> soc. draudimo įmokos</w:t>
      </w:r>
      <w:r w:rsidR="00210E4D">
        <w:rPr>
          <w:b/>
          <w:bCs/>
        </w:rPr>
        <w:t xml:space="preserve"> – </w:t>
      </w:r>
      <w:r w:rsidR="00EC5EC2">
        <w:rPr>
          <w:b/>
          <w:bCs/>
        </w:rPr>
        <w:t>9326,14</w:t>
      </w:r>
      <w:r w:rsidR="00210E4D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Eur</w:t>
      </w:r>
      <w:proofErr w:type="spellEnd"/>
      <w:r w:rsidR="004E421F">
        <w:rPr>
          <w:b/>
          <w:bCs/>
        </w:rPr>
        <w:t xml:space="preserve">, </w:t>
      </w:r>
      <w:r w:rsidR="00210E4D">
        <w:rPr>
          <w:b/>
          <w:bCs/>
        </w:rPr>
        <w:t>pajamų mokestis</w:t>
      </w:r>
      <w:r w:rsidR="004E421F">
        <w:rPr>
          <w:b/>
          <w:bCs/>
        </w:rPr>
        <w:t xml:space="preserve"> </w:t>
      </w:r>
      <w:r w:rsidR="00210E4D">
        <w:rPr>
          <w:b/>
          <w:bCs/>
        </w:rPr>
        <w:t xml:space="preserve">(VMI) – 267,07 </w:t>
      </w:r>
      <w:proofErr w:type="spellStart"/>
      <w:r w:rsidR="004E421F">
        <w:rPr>
          <w:b/>
          <w:bCs/>
        </w:rPr>
        <w:t>Eur</w:t>
      </w:r>
      <w:proofErr w:type="spellEnd"/>
      <w:r w:rsidR="004E421F">
        <w:rPr>
          <w:b/>
          <w:bCs/>
        </w:rPr>
        <w:t>.</w:t>
      </w:r>
    </w:p>
    <w:p w:rsidR="00CD19C9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8</w:t>
      </w:r>
      <w:r w:rsidR="00CD19C9" w:rsidRPr="00DE1817">
        <w:rPr>
          <w:b/>
          <w:bCs/>
        </w:rPr>
        <w:t>. Sukauptas mokėtinas sumas (FBA, eil. Nr. E.II. 11) sudaro sukauptos sumos ato</w:t>
      </w:r>
      <w:r w:rsidR="00E450CF" w:rsidRPr="00DE1817">
        <w:rPr>
          <w:b/>
          <w:bCs/>
        </w:rPr>
        <w:t>stoginių mokėjimui (</w:t>
      </w:r>
      <w:r w:rsidR="00EC5EC2">
        <w:rPr>
          <w:b/>
          <w:bCs/>
        </w:rPr>
        <w:t xml:space="preserve">58634,32 </w:t>
      </w:r>
      <w:proofErr w:type="spellStart"/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proofErr w:type="spellEnd"/>
      <w:r w:rsidR="00CD19C9" w:rsidRPr="00DE1817">
        <w:rPr>
          <w:b/>
          <w:bCs/>
        </w:rPr>
        <w:t>).</w:t>
      </w:r>
    </w:p>
    <w:p w:rsidR="004E421F" w:rsidRDefault="004E421F" w:rsidP="006E13BA">
      <w:pPr>
        <w:ind w:firstLine="720"/>
        <w:jc w:val="both"/>
        <w:rPr>
          <w:b/>
          <w:bCs/>
        </w:rPr>
      </w:pPr>
    </w:p>
    <w:p w:rsidR="004E421F" w:rsidRDefault="004E421F" w:rsidP="006E13BA">
      <w:pPr>
        <w:ind w:firstLine="720"/>
        <w:jc w:val="both"/>
        <w:rPr>
          <w:b/>
          <w:bCs/>
        </w:rPr>
      </w:pPr>
    </w:p>
    <w:p w:rsidR="00EC5EC2" w:rsidRDefault="00EC5EC2" w:rsidP="006E13BA">
      <w:pPr>
        <w:ind w:firstLine="720"/>
        <w:jc w:val="both"/>
        <w:rPr>
          <w:b/>
          <w:bCs/>
        </w:rPr>
      </w:pPr>
    </w:p>
    <w:p w:rsidR="00CD19C9" w:rsidRDefault="00CD19C9" w:rsidP="007F4856">
      <w:pPr>
        <w:jc w:val="both"/>
        <w:rPr>
          <w:bCs/>
        </w:rPr>
      </w:pPr>
    </w:p>
    <w:p w:rsidR="00CD19C9" w:rsidRDefault="00CD19C9" w:rsidP="00AD3668">
      <w:pPr>
        <w:jc w:val="center"/>
        <w:rPr>
          <w:b/>
          <w:bCs/>
        </w:rPr>
      </w:pPr>
      <w:r>
        <w:rPr>
          <w:b/>
          <w:bCs/>
        </w:rPr>
        <w:lastRenderedPageBreak/>
        <w:t>Veiklos rezultatų ataskaita</w:t>
      </w:r>
      <w:r w:rsidR="00D0275E">
        <w:rPr>
          <w:b/>
          <w:bCs/>
        </w:rPr>
        <w:t xml:space="preserve"> </w:t>
      </w:r>
    </w:p>
    <w:p w:rsidR="00D0275E" w:rsidRDefault="00D0275E" w:rsidP="00AD3668">
      <w:pPr>
        <w:jc w:val="center"/>
        <w:rPr>
          <w:b/>
          <w:bCs/>
        </w:rPr>
      </w:pPr>
    </w:p>
    <w:p w:rsidR="00D0275E" w:rsidRDefault="00D0275E" w:rsidP="00D0275E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  <w:t xml:space="preserve">1A.Pagrindinės </w:t>
      </w:r>
      <w:r w:rsidR="009A0AE0">
        <w:rPr>
          <w:b/>
          <w:bCs/>
        </w:rPr>
        <w:t>v</w:t>
      </w:r>
      <w:r w:rsidR="004E421F">
        <w:rPr>
          <w:b/>
          <w:bCs/>
        </w:rPr>
        <w:t>eiklos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EC5EC2">
        <w:rPr>
          <w:b/>
          <w:bCs/>
        </w:rPr>
        <w:t>148416,73</w:t>
      </w:r>
      <w:r w:rsidR="000C2EB8">
        <w:rPr>
          <w:b/>
          <w:bCs/>
        </w:rPr>
        <w:t xml:space="preserve"> </w:t>
      </w:r>
      <w:proofErr w:type="spellStart"/>
      <w:r w:rsidR="00EC5EC2">
        <w:rPr>
          <w:b/>
          <w:bCs/>
        </w:rPr>
        <w:t>Eur</w:t>
      </w:r>
      <w:proofErr w:type="spellEnd"/>
      <w:r>
        <w:rPr>
          <w:b/>
          <w:bCs/>
        </w:rPr>
        <w:t>: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>Veiklos rezultatų ataskaitoje pagal 201</w:t>
      </w:r>
      <w:r w:rsidR="00EC5EC2">
        <w:t>8</w:t>
      </w:r>
      <w:r w:rsidR="00CD19C9" w:rsidRPr="0067749A">
        <w:t>-</w:t>
      </w:r>
      <w:r w:rsidR="00CD19C9">
        <w:t>0</w:t>
      </w:r>
      <w:r w:rsidR="004E421F">
        <w:t>3</w:t>
      </w:r>
      <w:r w:rsidR="00E450CF">
        <w:t>-3</w:t>
      </w:r>
      <w:r w:rsidR="004E421F">
        <w:t>1</w:t>
      </w:r>
      <w:r w:rsidR="00CD19C9" w:rsidRPr="0067749A">
        <w:t xml:space="preserve"> duomenis </w:t>
      </w:r>
      <w:proofErr w:type="spellStart"/>
      <w:r w:rsidR="00CD19C9">
        <w:t>e</w:t>
      </w:r>
      <w:r w:rsidR="00CD19C9" w:rsidRPr="0067749A">
        <w:t>il</w:t>
      </w:r>
      <w:proofErr w:type="spellEnd"/>
      <w:r w:rsidR="00CD19C9">
        <w:t>.</w:t>
      </w:r>
      <w:r w:rsidR="00CD19C9" w:rsidRPr="0067749A">
        <w:t xml:space="preserve"> Nr.</w:t>
      </w:r>
      <w:r w:rsidR="00DD2C2B">
        <w:t xml:space="preserve"> </w:t>
      </w:r>
      <w:r w:rsidR="00CD19C9">
        <w:t>A.I.1</w:t>
      </w:r>
      <w:r w:rsidR="00EC5EC2">
        <w:t>.</w:t>
      </w:r>
      <w:r w:rsidR="00CD19C9" w:rsidRPr="0067749A">
        <w:t xml:space="preserve"> 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EC5EC2">
        <w:t xml:space="preserve">51434,14 </w:t>
      </w:r>
      <w:proofErr w:type="spellStart"/>
      <w:r w:rsidR="00EC5EC2">
        <w:t>Eur</w:t>
      </w:r>
      <w:proofErr w:type="spellEnd"/>
      <w:r w:rsidR="00EC5EC2">
        <w:t>).</w:t>
      </w:r>
    </w:p>
    <w:p w:rsidR="00CD19C9" w:rsidRDefault="00CD19C9" w:rsidP="006E13BA">
      <w:pPr>
        <w:ind w:firstLine="720"/>
        <w:jc w:val="both"/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201</w:t>
      </w:r>
      <w:r w:rsidR="00593887">
        <w:t>8</w:t>
      </w:r>
      <w:r w:rsidR="00E857CB" w:rsidRPr="0067749A">
        <w:t>-</w:t>
      </w:r>
      <w:r w:rsidR="004E421F">
        <w:t>03-31</w:t>
      </w:r>
      <w:r w:rsidR="00E857CB" w:rsidRPr="0067749A">
        <w:t xml:space="preserve"> </w:t>
      </w:r>
      <w:r w:rsidRPr="0067749A">
        <w:t xml:space="preserve">duomenis </w:t>
      </w:r>
      <w:proofErr w:type="spellStart"/>
      <w:r>
        <w:t>e</w:t>
      </w:r>
      <w:r w:rsidRPr="0067749A">
        <w:t>il</w:t>
      </w:r>
      <w:proofErr w:type="spellEnd"/>
      <w:r>
        <w:t>.</w:t>
      </w:r>
      <w:r w:rsidRPr="0067749A">
        <w:t xml:space="preserve"> Nr.</w:t>
      </w:r>
      <w:r w:rsidR="00E857CB">
        <w:t>A.I.</w:t>
      </w:r>
      <w:r>
        <w:t>2</w:t>
      </w:r>
      <w:r w:rsidR="00593887">
        <w:t>.</w:t>
      </w:r>
      <w:r w:rsidRPr="0067749A">
        <w:t xml:space="preserve"> „Finansavimo pajamos iš </w:t>
      </w:r>
      <w:r>
        <w:t>savivaldybių biudžetų“</w:t>
      </w:r>
      <w:r w:rsidRPr="0067749A">
        <w:t xml:space="preserve"> sudaro </w:t>
      </w:r>
      <w:r>
        <w:t xml:space="preserve">finansavimo pajamos iš Šiaulių m. savivaldybės biudžeto </w:t>
      </w:r>
      <w:r w:rsidR="009B7E50">
        <w:t>(</w:t>
      </w:r>
      <w:r w:rsidR="00593887">
        <w:t xml:space="preserve">68913,29 </w:t>
      </w:r>
      <w:proofErr w:type="spellStart"/>
      <w:r w:rsidR="009B7E50">
        <w:t>Eur</w:t>
      </w:r>
      <w:proofErr w:type="spellEnd"/>
      <w:r w:rsidR="009B7E50">
        <w:t xml:space="preserve">) </w:t>
      </w:r>
      <w:r>
        <w:t>ir vaiko i</w:t>
      </w:r>
      <w:r w:rsidR="00E450CF">
        <w:t>šlaikymo įstaigoje lėšų (</w:t>
      </w:r>
      <w:r w:rsidR="00593887">
        <w:t xml:space="preserve">2282,98 </w:t>
      </w:r>
      <w:proofErr w:type="spellStart"/>
      <w:r w:rsidR="009B7E50">
        <w:t>E</w:t>
      </w:r>
      <w:r w:rsidR="000C2EB8">
        <w:t>ur</w:t>
      </w:r>
      <w:proofErr w:type="spellEnd"/>
      <w:r>
        <w:t>).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E857CB" w:rsidRPr="0067749A">
        <w:t>201</w:t>
      </w:r>
      <w:r w:rsidR="00593887">
        <w:t>8</w:t>
      </w:r>
      <w:r w:rsidR="00E857CB" w:rsidRPr="0067749A">
        <w:t>-</w:t>
      </w:r>
      <w:r w:rsidR="009B7E50">
        <w:t>03</w:t>
      </w:r>
      <w:r>
        <w:t>-</w:t>
      </w:r>
      <w:r w:rsidR="009B7E50">
        <w:t>31</w:t>
      </w:r>
      <w:r w:rsidR="00E857CB" w:rsidRPr="0067749A">
        <w:t xml:space="preserve"> </w:t>
      </w:r>
      <w:r w:rsidR="00CD19C9" w:rsidRPr="0067749A">
        <w:t xml:space="preserve">duomenis </w:t>
      </w:r>
      <w:proofErr w:type="spellStart"/>
      <w:r w:rsidR="00CD19C9">
        <w:t>e</w:t>
      </w:r>
      <w:r w:rsidR="00CD19C9" w:rsidRPr="0067749A">
        <w:t>il</w:t>
      </w:r>
      <w:proofErr w:type="spellEnd"/>
      <w:r w:rsidR="00CD19C9">
        <w:t>.</w:t>
      </w:r>
      <w:r w:rsidR="00CD19C9" w:rsidRPr="0067749A">
        <w:t xml:space="preserve"> Nr.</w:t>
      </w:r>
      <w:r w:rsidR="00D94477">
        <w:t>A.I</w:t>
      </w:r>
      <w:r w:rsidR="00CD19C9">
        <w:t>.4</w:t>
      </w:r>
      <w:r w:rsidR="00CD19C9" w:rsidRPr="0067749A">
        <w:t xml:space="preserve"> „Finansavimo pajamos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593887">
        <w:t xml:space="preserve">498,77 </w:t>
      </w:r>
      <w:proofErr w:type="spellStart"/>
      <w:r w:rsidR="009B7E50">
        <w:t>E</w:t>
      </w:r>
      <w:r w:rsidR="000C2EB8">
        <w:t>ur</w:t>
      </w:r>
      <w:proofErr w:type="spellEnd"/>
      <w:r w:rsidR="00CD19C9">
        <w:t>)</w:t>
      </w:r>
      <w:r w:rsidR="00490582">
        <w:t>.</w:t>
      </w:r>
    </w:p>
    <w:p w:rsidR="00CD19C9" w:rsidRDefault="00CD19C9" w:rsidP="006E13BA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E857CB" w:rsidRPr="0067749A">
        <w:t>201</w:t>
      </w:r>
      <w:r w:rsidR="001156EC">
        <w:t>8</w:t>
      </w:r>
      <w:r w:rsidR="00E857CB" w:rsidRPr="0067749A">
        <w:t>-</w:t>
      </w:r>
      <w:r w:rsidR="0052299A">
        <w:t>0</w:t>
      </w:r>
      <w:r w:rsidR="009B7E50">
        <w:t>3-31</w:t>
      </w:r>
      <w:r w:rsidR="00E857CB" w:rsidRPr="0067749A">
        <w:t xml:space="preserve"> </w:t>
      </w:r>
      <w:r w:rsidRPr="0067749A">
        <w:t xml:space="preserve">duomenis </w:t>
      </w:r>
      <w:proofErr w:type="spellStart"/>
      <w:r>
        <w:t>e</w:t>
      </w:r>
      <w:r w:rsidRPr="0067749A">
        <w:t>il</w:t>
      </w:r>
      <w:proofErr w:type="spellEnd"/>
      <w:r>
        <w:t>.</w:t>
      </w:r>
      <w:r w:rsidRPr="0067749A">
        <w:t xml:space="preserve"> Nr.A.III.1.</w:t>
      </w:r>
      <w:r>
        <w:t xml:space="preserve"> </w:t>
      </w:r>
      <w:r w:rsidRPr="0067749A">
        <w:t>„Pagrindinės veiklos kitos pajamos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1156EC">
        <w:t xml:space="preserve">25137,55 </w:t>
      </w:r>
      <w:proofErr w:type="spellStart"/>
      <w:r w:rsidR="009B7E50">
        <w:t>E</w:t>
      </w:r>
      <w:r w:rsidR="007F4856">
        <w:t>ur</w:t>
      </w:r>
      <w:proofErr w:type="spellEnd"/>
      <w:r w:rsidR="009B7E50">
        <w:t>) ir salės nuoma</w:t>
      </w:r>
      <w:r w:rsidR="001156EC">
        <w:t xml:space="preserve"> </w:t>
      </w:r>
      <w:r w:rsidR="009B7E50">
        <w:t>(</w:t>
      </w:r>
      <w:r w:rsidR="001156EC">
        <w:t xml:space="preserve">150,00 </w:t>
      </w:r>
      <w:proofErr w:type="spellStart"/>
      <w:r w:rsidR="009B7E50">
        <w:t>Eur</w:t>
      </w:r>
      <w:proofErr w:type="spellEnd"/>
      <w:r w:rsidR="009B7E50">
        <w:t>).</w:t>
      </w:r>
    </w:p>
    <w:p w:rsidR="00CD19C9" w:rsidRPr="00DE1817" w:rsidRDefault="00484A00" w:rsidP="00AB30F4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2B</w:t>
      </w:r>
      <w:r w:rsidR="00CD19C9" w:rsidRPr="00DE1817">
        <w:rPr>
          <w:b/>
          <w:bCs/>
        </w:rPr>
        <w:t xml:space="preserve"> 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1156EC">
        <w:rPr>
          <w:b/>
          <w:bCs/>
        </w:rPr>
        <w:t xml:space="preserve">2792,45 </w:t>
      </w:r>
      <w:proofErr w:type="spellStart"/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proofErr w:type="spellEnd"/>
      <w:r w:rsidR="000C2EB8">
        <w:rPr>
          <w:b/>
          <w:bCs/>
        </w:rPr>
        <w:t xml:space="preserve"> </w:t>
      </w:r>
      <w:r w:rsidR="003C6A84">
        <w:rPr>
          <w:b/>
          <w:bCs/>
        </w:rPr>
        <w:t>(VRA)</w:t>
      </w:r>
      <w:r w:rsidR="000C2EB8">
        <w:rPr>
          <w:b/>
          <w:bCs/>
        </w:rPr>
        <w:t>.</w:t>
      </w:r>
      <w:r w:rsidR="00CD19C9"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sudaro </w:t>
      </w:r>
      <w:r w:rsidR="00C812DA">
        <w:rPr>
          <w:bCs/>
        </w:rPr>
        <w:t xml:space="preserve">22627,46 </w:t>
      </w:r>
      <w:proofErr w:type="spellStart"/>
      <w:r w:rsidR="009B7E50">
        <w:rPr>
          <w:bCs/>
        </w:rPr>
        <w:t>E</w:t>
      </w:r>
      <w:r w:rsidR="007F4856">
        <w:rPr>
          <w:bCs/>
        </w:rPr>
        <w:t>ur</w:t>
      </w:r>
      <w:proofErr w:type="spellEnd"/>
      <w:r w:rsidR="007F4856">
        <w:rPr>
          <w:bCs/>
        </w:rPr>
        <w:t xml:space="preserve"> </w:t>
      </w:r>
      <w:r w:rsidR="00490582">
        <w:rPr>
          <w:bCs/>
        </w:rPr>
        <w:t>(FBA</w:t>
      </w:r>
      <w:r w:rsidR="00DD2C2B">
        <w:rPr>
          <w:bCs/>
        </w:rPr>
        <w:t xml:space="preserve"> </w:t>
      </w:r>
      <w:r w:rsidR="00490582">
        <w:rPr>
          <w:bCs/>
        </w:rPr>
        <w:t>,</w:t>
      </w:r>
      <w:proofErr w:type="spellStart"/>
      <w:r w:rsidR="00490582">
        <w:rPr>
          <w:bCs/>
        </w:rPr>
        <w:t>eil</w:t>
      </w:r>
      <w:proofErr w:type="spellEnd"/>
      <w:r w:rsidR="00490582">
        <w:rPr>
          <w:bCs/>
        </w:rPr>
        <w:t>.</w:t>
      </w:r>
      <w:r w:rsidR="00DD2C2B">
        <w:rPr>
          <w:bCs/>
        </w:rPr>
        <w:t xml:space="preserve"> </w:t>
      </w:r>
      <w:r w:rsidR="00490582">
        <w:rPr>
          <w:bCs/>
        </w:rPr>
        <w:t>Nr.</w:t>
      </w:r>
      <w:r w:rsidR="00DD2C2B">
        <w:rPr>
          <w:bCs/>
        </w:rPr>
        <w:t xml:space="preserve"> </w:t>
      </w:r>
      <w:r w:rsidR="00490582">
        <w:rPr>
          <w:bCs/>
        </w:rPr>
        <w:t>F.IV).</w:t>
      </w:r>
    </w:p>
    <w:p w:rsidR="00CD19C9" w:rsidRDefault="00CD19C9" w:rsidP="00CD19C9">
      <w:pPr>
        <w:ind w:firstLine="360"/>
        <w:jc w:val="both"/>
        <w:rPr>
          <w:bCs/>
        </w:rPr>
      </w:pP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CD19C9">
        <w:t>Direktorė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F84C52">
        <w:tab/>
      </w:r>
      <w:r w:rsidR="00484A00">
        <w:t xml:space="preserve">Silva </w:t>
      </w:r>
      <w:r w:rsidR="00DD2C2B">
        <w:t xml:space="preserve">    </w:t>
      </w:r>
      <w:proofErr w:type="spellStart"/>
      <w:r w:rsidR="00484A00">
        <w:t>Taralienė</w:t>
      </w:r>
      <w:proofErr w:type="spellEnd"/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  <w:bookmarkStart w:id="0" w:name="_GoBack"/>
      <w:bookmarkEnd w:id="0"/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>
        <w:tab/>
      </w:r>
      <w:r w:rsidR="00C812DA">
        <w:t xml:space="preserve">Lina </w:t>
      </w:r>
      <w:proofErr w:type="spellStart"/>
      <w:r w:rsidR="00C812DA">
        <w:t>Trukšina</w:t>
      </w:r>
      <w:proofErr w:type="spellEnd"/>
    </w:p>
    <w:sectPr w:rsidR="00D764AE" w:rsidSect="00F84C52">
      <w:headerReference w:type="even" r:id="rId9"/>
      <w:headerReference w:type="default" r:id="rId10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06" w:rsidRDefault="00927406">
      <w:r>
        <w:separator/>
      </w:r>
    </w:p>
  </w:endnote>
  <w:endnote w:type="continuationSeparator" w:id="0">
    <w:p w:rsidR="00927406" w:rsidRDefault="009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06" w:rsidRDefault="00927406">
      <w:r>
        <w:separator/>
      </w:r>
    </w:p>
  </w:footnote>
  <w:footnote w:type="continuationSeparator" w:id="0">
    <w:p w:rsidR="00927406" w:rsidRDefault="0092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12D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B3A9A"/>
    <w:rsid w:val="000C2EB8"/>
    <w:rsid w:val="000F4F18"/>
    <w:rsid w:val="0010188E"/>
    <w:rsid w:val="0011025B"/>
    <w:rsid w:val="001156EC"/>
    <w:rsid w:val="001174C3"/>
    <w:rsid w:val="00123B87"/>
    <w:rsid w:val="00183ECB"/>
    <w:rsid w:val="001C249D"/>
    <w:rsid w:val="001C5CC6"/>
    <w:rsid w:val="001D1DD8"/>
    <w:rsid w:val="001E65F2"/>
    <w:rsid w:val="00202497"/>
    <w:rsid w:val="00210E4D"/>
    <w:rsid w:val="00221469"/>
    <w:rsid w:val="00226D5D"/>
    <w:rsid w:val="002513EF"/>
    <w:rsid w:val="00262F36"/>
    <w:rsid w:val="00284FB3"/>
    <w:rsid w:val="0029730B"/>
    <w:rsid w:val="002C4694"/>
    <w:rsid w:val="003A6C46"/>
    <w:rsid w:val="003B5E32"/>
    <w:rsid w:val="003C6A84"/>
    <w:rsid w:val="003F75DC"/>
    <w:rsid w:val="00473570"/>
    <w:rsid w:val="00473571"/>
    <w:rsid w:val="00484A00"/>
    <w:rsid w:val="004867D1"/>
    <w:rsid w:val="00490582"/>
    <w:rsid w:val="00496875"/>
    <w:rsid w:val="004A4EC6"/>
    <w:rsid w:val="004D2202"/>
    <w:rsid w:val="004D7FE7"/>
    <w:rsid w:val="004E07B0"/>
    <w:rsid w:val="004E265A"/>
    <w:rsid w:val="004E421F"/>
    <w:rsid w:val="004E675D"/>
    <w:rsid w:val="00506EFF"/>
    <w:rsid w:val="00513571"/>
    <w:rsid w:val="0051488A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23C7A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C337B"/>
    <w:rsid w:val="007F088C"/>
    <w:rsid w:val="007F2A9E"/>
    <w:rsid w:val="007F4856"/>
    <w:rsid w:val="0080372E"/>
    <w:rsid w:val="00822700"/>
    <w:rsid w:val="008236ED"/>
    <w:rsid w:val="00823CF7"/>
    <w:rsid w:val="00824724"/>
    <w:rsid w:val="00831D40"/>
    <w:rsid w:val="00885200"/>
    <w:rsid w:val="008C6761"/>
    <w:rsid w:val="008C6908"/>
    <w:rsid w:val="008F48B9"/>
    <w:rsid w:val="00911D32"/>
    <w:rsid w:val="00912473"/>
    <w:rsid w:val="00913283"/>
    <w:rsid w:val="00927406"/>
    <w:rsid w:val="0092785F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379E3"/>
    <w:rsid w:val="00B667DD"/>
    <w:rsid w:val="00B72BEE"/>
    <w:rsid w:val="00B82D8C"/>
    <w:rsid w:val="00B93FF8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F38BB"/>
    <w:rsid w:val="00C17B20"/>
    <w:rsid w:val="00C32B32"/>
    <w:rsid w:val="00C427CA"/>
    <w:rsid w:val="00C812DA"/>
    <w:rsid w:val="00C83A63"/>
    <w:rsid w:val="00CB0D05"/>
    <w:rsid w:val="00CC3454"/>
    <w:rsid w:val="00CC642E"/>
    <w:rsid w:val="00CD11C8"/>
    <w:rsid w:val="00CD19C9"/>
    <w:rsid w:val="00CF0A37"/>
    <w:rsid w:val="00CF4E1A"/>
    <w:rsid w:val="00D00C4C"/>
    <w:rsid w:val="00D015AD"/>
    <w:rsid w:val="00D0275E"/>
    <w:rsid w:val="00D130B8"/>
    <w:rsid w:val="00D4027B"/>
    <w:rsid w:val="00D4672F"/>
    <w:rsid w:val="00D57C03"/>
    <w:rsid w:val="00D764AE"/>
    <w:rsid w:val="00D866AE"/>
    <w:rsid w:val="00D94477"/>
    <w:rsid w:val="00DC3093"/>
    <w:rsid w:val="00DD2C2B"/>
    <w:rsid w:val="00DE1817"/>
    <w:rsid w:val="00E070E4"/>
    <w:rsid w:val="00E10F91"/>
    <w:rsid w:val="00E317FD"/>
    <w:rsid w:val="00E450CF"/>
    <w:rsid w:val="00E604A3"/>
    <w:rsid w:val="00E857CB"/>
    <w:rsid w:val="00EC5EC2"/>
    <w:rsid w:val="00ED11B4"/>
    <w:rsid w:val="00EF1EA3"/>
    <w:rsid w:val="00F10E4C"/>
    <w:rsid w:val="00F442BA"/>
    <w:rsid w:val="00F50116"/>
    <w:rsid w:val="00F61DFB"/>
    <w:rsid w:val="00F63164"/>
    <w:rsid w:val="00F84C52"/>
    <w:rsid w:val="00F96E58"/>
    <w:rsid w:val="00FB03F2"/>
    <w:rsid w:val="00FB1CEE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C009-F4D7-4F1F-9F99-058EC1F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LOPŠELIS-DARŽELIS „DAINELĖ”</vt:lpstr>
    </vt:vector>
  </TitlesOfParts>
  <Company>ld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3</cp:revision>
  <cp:lastPrinted>2018-05-21T10:48:00Z</cp:lastPrinted>
  <dcterms:created xsi:type="dcterms:W3CDTF">2018-05-21T08:12:00Z</dcterms:created>
  <dcterms:modified xsi:type="dcterms:W3CDTF">2018-05-21T10:48:00Z</dcterms:modified>
</cp:coreProperties>
</file>